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1" w:rightChars="648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北海市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律师协会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新型冠状病毒感染肺炎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疫情防控工作专项法律服务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　　（成员名单）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团　长：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彪  北海市律师协会会长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1850" w:h="16783"/>
          <w:pgMar w:top="1440" w:right="1519" w:bottom="1440" w:left="1576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嘉友律师事</w:t>
      </w:r>
      <w:r>
        <w:rPr>
          <w:rFonts w:hint="eastAsia" w:ascii="仿宋_GB2312" w:hAnsi="仿宋_GB2312" w:eastAsia="仿宋_GB2312" w:cs="仿宋_GB2312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副团长：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吴文钦  北海市律师协会副会长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先导联合律师事务所主任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　谢宗宝  北海市律师协会副会长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李春贵  北海市律师协会副会长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广恒信</w:t>
      </w:r>
      <w:r>
        <w:rPr>
          <w:rFonts w:hint="eastAsia" w:ascii="仿宋_GB2312" w:hAnsi="仿宋_GB2312" w:eastAsia="仿宋_GB2312" w:cs="仿宋_GB2312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师事务所副主任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李满穗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北海市律师协会副会长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广西海鑫律师事务所主任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满耀志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北海市律师协会副秘书长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广西海鑫律师事务所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北海市律师协会副秘书长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广西熙棣律师事务所主任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邓昌忠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广西熙棣律师事务所副主任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吴恒彩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广西熙棣律师事务所律师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苏振豪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广西熙棣律师事务所律师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徐海超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广西万益（北海）律师事务所执行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广西天惠律师事务所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李玉萍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广西天惠律师事务所律师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廖文凯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广西天惠律师事务所律师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梁春雷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广西群智律师事务所主任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卢波锋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刘福旺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梁树权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赖勇强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郭伟燕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简崇明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王金茸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广西启迪律师事务所律师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张春友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广西谦言律师事务所律师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郑光盛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广西谦言律师事务所律师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陈玉梅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广西谦言律师事务所律师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吴  莉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广西谦言律师事务所律师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唐  程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唐程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田永鲜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先导联合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唐  英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先导联合（海城）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李海峰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广西海城律师事务所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莫积奎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嘉友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伍庆华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广西现城律师事务所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广西现城律师事务所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冯贤光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广西现城律师事务所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彭德元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广西现城律师事务所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琰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广西海鑫律师事务所副主任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石维道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"http://mc.gxlawyer.org.cn/overview/javascript:parent.controller.executeBusiness({typeName:'lms.LawFirm',businessName:'overview-index',entityId:'ffc2889b050843768d2f152badfdc3b6'});"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广西盛力律师事务所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  锐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"http://mc.gxlawyer.org.cn/overview/javascript:parent.controller.executeBusiness({typeName:'lms.LawFirm',businessName:'overview-index',entityId:'ffc2889b050843768d2f152badfdc3b6'});"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广西盛力律师事务所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刘业光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"http://mc.gxlawyer.org.cn/overview/javascript:parent.controller.executeBusiness({typeName:'lms.LawFirm',businessName:'overview-index',entityId:'ffc2889b050843768d2f152badfdc3b6'});"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广西汇百川律师事务所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陈仕金   广西桂鸿凯律师事务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"http://mc.gxlawyer.org.cn/overview/javascript:parent.controller.executeBusiness({typeName:'lms.LawFirm',businessName:'overview-index',entityId:'ffc2889b050843768d2f152badfdc3b6'});"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范  琦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"http://mc.gxlawyer.org.cn/overview/javascript:parent.controller.executeBusiness({typeName:'lms.LawFirm',businessName:'overview-index',entityId:'ffc2889b050843768d2f152badfdc3b6'});"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广西海盟律师事务所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向建伟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"http://mc.gxlawyer.org.cn/overview/javascript:parent.controller.executeBusiness({typeName:'lms.LawFirm',businessName:'overview-index',entityId:'ffc2889b050843768d2f152badfdc3b6'});"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广西仁学律师事务所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</w:rPr>
      </w:pPr>
    </w:p>
    <w:sectPr>
      <w:type w:val="continuous"/>
      <w:pgSz w:w="11850" w:h="16783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274E"/>
    <w:rsid w:val="0A863EFA"/>
    <w:rsid w:val="11116C8D"/>
    <w:rsid w:val="184630D4"/>
    <w:rsid w:val="1E7C61B9"/>
    <w:rsid w:val="4A7052E2"/>
    <w:rsid w:val="53BC3FEA"/>
    <w:rsid w:val="54A26E1D"/>
    <w:rsid w:val="5CDA1597"/>
    <w:rsid w:val="6363274E"/>
    <w:rsid w:val="68A47C66"/>
    <w:rsid w:val="735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2020-02-03T09:54:00Z</dcterms:created>
  <dc:creator>Administrator</dc:creator>
  <cp:lastModifiedBy>张庆清</cp:lastModifiedBy>
  <dcterms:modified xsi:type="dcterms:W3CDTF">2020-02-04T08:14:39Z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